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109</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320430</w:t>
      </w:r>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cs="Arial"/>
          <w:b/>
          <w:sz w:val="24"/>
          <w:szCs w:val="24"/>
          <w:lang w:eastAsia="zh-CN"/>
        </w:rPr>
        <w:t>Chicago, US</w:t>
      </w:r>
      <w:r>
        <w:rPr>
          <w:rFonts w:hint="eastAsia" w:ascii="Arial" w:hAnsi="Arial" w:eastAsia="宋体" w:cs="Arial"/>
          <w:b/>
          <w:sz w:val="24"/>
          <w:szCs w:val="24"/>
          <w:highlight w:val="none"/>
          <w:lang w:val="en-US" w:eastAsia="zh-CN"/>
        </w:rPr>
        <w:t>, Nov 13–17</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5"/>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FR2 SCell activation enhancements</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8.8.4</w:t>
      </w:r>
      <w:bookmarkStart w:id="0" w:name="_GoBack"/>
      <w:bookmarkEnd w:id="0"/>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default" w:eastAsia="宋体"/>
          <w:color w:val="auto"/>
          <w:sz w:val="20"/>
          <w:szCs w:val="20"/>
          <w:lang w:val="en-US" w:eastAsia="zh-CN"/>
        </w:rPr>
      </w:pPr>
      <w:r>
        <w:rPr>
          <w:rFonts w:hint="eastAsia" w:eastAsia="宋体"/>
          <w:color w:val="auto"/>
          <w:sz w:val="20"/>
          <w:szCs w:val="20"/>
          <w:lang w:val="en-US" w:eastAsia="zh-CN"/>
        </w:rPr>
        <w:t>The core part has been discussed for multiple meetings and good progress were achieved. From last meeting, the performance part discussion has been triggered and some initial general agreements approved in [1].</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3"/>
            </w:pPr>
            <w:r>
              <w:t>Sub-topic 4-1 performance requirement</w:t>
            </w:r>
          </w:p>
          <w:p>
            <w:pPr>
              <w:rPr>
                <w:b/>
                <w:color w:val="0070C0"/>
                <w:u w:val="single"/>
                <w:lang w:eastAsia="ko-KR"/>
              </w:rPr>
            </w:pPr>
            <w:r>
              <w:rPr>
                <w:b/>
                <w:color w:val="0070C0"/>
                <w:u w:val="single"/>
                <w:lang w:eastAsia="ko-KR"/>
              </w:rPr>
              <w:t>Issue 4-1-1: Performance requirement design</w:t>
            </w:r>
          </w:p>
          <w:p>
            <w:pPr>
              <w:pStyle w:val="29"/>
              <w:numPr>
                <w:ilvl w:val="0"/>
                <w:numId w:val="3"/>
              </w:numPr>
              <w:overflowPunct/>
              <w:autoSpaceDE/>
              <w:autoSpaceDN/>
              <w:adjustRightInd/>
              <w:spacing w:after="120"/>
              <w:ind w:firstLineChars="0"/>
              <w:textAlignment w:val="auto"/>
              <w:rPr>
                <w:rFonts w:eastAsia="宋体"/>
              </w:rPr>
            </w:pPr>
            <w:r>
              <w:rPr>
                <w:rFonts w:eastAsia="宋体"/>
              </w:rPr>
              <w:t xml:space="preserve">Proposal 1 (Nokia): </w:t>
            </w:r>
          </w:p>
          <w:p>
            <w:pPr>
              <w:pStyle w:val="29"/>
              <w:numPr>
                <w:ilvl w:val="1"/>
                <w:numId w:val="3"/>
              </w:numPr>
              <w:overflowPunct/>
              <w:autoSpaceDE/>
              <w:autoSpaceDN/>
              <w:adjustRightInd/>
              <w:spacing w:after="120"/>
              <w:ind w:firstLineChars="0"/>
              <w:textAlignment w:val="auto"/>
              <w:rPr>
                <w:rFonts w:eastAsia="宋体"/>
              </w:rPr>
            </w:pPr>
            <w:r>
              <w:rPr>
                <w:rFonts w:eastAsia="宋体"/>
              </w:rPr>
              <w:t>The L3 report after SCell activation command, if triggered, shall fulfil the accuracy requirements as specified in TS 38.133 clause 10, in particular clause 10.1.2.1 (for FR1) and 10.1.3.1 (for FR2).</w:t>
            </w:r>
          </w:p>
          <w:p>
            <w:pPr>
              <w:pStyle w:val="29"/>
              <w:numPr>
                <w:ilvl w:val="1"/>
                <w:numId w:val="3"/>
              </w:numPr>
              <w:overflowPunct/>
              <w:autoSpaceDE/>
              <w:autoSpaceDN/>
              <w:adjustRightInd/>
              <w:spacing w:after="120"/>
              <w:ind w:firstLineChars="0"/>
              <w:textAlignment w:val="auto"/>
              <w:rPr>
                <w:rFonts w:eastAsia="宋体"/>
              </w:rPr>
            </w:pPr>
            <w:r>
              <w:rPr>
                <w:rFonts w:eastAsia="宋体"/>
              </w:rPr>
              <w:t>When the UE indicates a smaller sweeping factor X2, the L1-RSRP report shall fulfil the accuracy requirements as specified in in TS38.133 clause 10.1.19.1 (for FR1) and clause 10.1.20.1 (for FR2), irrespective of the value of sweeping factor X2.</w:t>
            </w:r>
          </w:p>
          <w:p>
            <w:pPr>
              <w:pStyle w:val="29"/>
              <w:numPr>
                <w:ilvl w:val="0"/>
                <w:numId w:val="3"/>
              </w:numPr>
              <w:overflowPunct/>
              <w:autoSpaceDE/>
              <w:autoSpaceDN/>
              <w:adjustRightInd/>
              <w:spacing w:after="120"/>
              <w:ind w:firstLineChars="0"/>
              <w:textAlignment w:val="auto"/>
              <w:rPr>
                <w:rFonts w:eastAsia="宋体"/>
              </w:rPr>
            </w:pPr>
            <w:r>
              <w:rPr>
                <w:rFonts w:eastAsia="宋体"/>
              </w:rPr>
              <w:t>Proposal 2 (QC):</w:t>
            </w:r>
          </w:p>
          <w:p>
            <w:pPr>
              <w:pStyle w:val="29"/>
              <w:numPr>
                <w:ilvl w:val="1"/>
                <w:numId w:val="3"/>
              </w:numPr>
              <w:overflowPunct/>
              <w:autoSpaceDE/>
              <w:autoSpaceDN/>
              <w:adjustRightInd/>
              <w:spacing w:after="120"/>
              <w:ind w:firstLineChars="0"/>
              <w:textAlignment w:val="auto"/>
              <w:rPr>
                <w:rFonts w:eastAsia="宋体"/>
              </w:rPr>
            </w:pPr>
            <w:r>
              <w:rPr>
                <w:rFonts w:eastAsia="宋体"/>
              </w:rPr>
              <w:t>RAN4 introduce performance requirement for L3 reporting based enhancement at least.</w:t>
            </w:r>
          </w:p>
          <w:p>
            <w:pPr>
              <w:pStyle w:val="29"/>
              <w:numPr>
                <w:ilvl w:val="0"/>
                <w:numId w:val="3"/>
              </w:numPr>
              <w:overflowPunct/>
              <w:autoSpaceDE/>
              <w:autoSpaceDN/>
              <w:adjustRightInd/>
              <w:spacing w:after="120"/>
              <w:ind w:firstLineChars="0"/>
              <w:textAlignment w:val="auto"/>
              <w:rPr>
                <w:rFonts w:eastAsia="宋体"/>
                <w:highlight w:val="green"/>
              </w:rPr>
            </w:pPr>
            <w:r>
              <w:rPr>
                <w:rFonts w:eastAsia="宋体"/>
                <w:highlight w:val="green"/>
              </w:rPr>
              <w:t>Agreement:</w:t>
            </w:r>
          </w:p>
          <w:p>
            <w:pPr>
              <w:pStyle w:val="29"/>
              <w:numPr>
                <w:ilvl w:val="1"/>
                <w:numId w:val="3"/>
              </w:numPr>
              <w:overflowPunct/>
              <w:autoSpaceDE/>
              <w:autoSpaceDN/>
              <w:adjustRightInd/>
              <w:spacing w:after="120"/>
              <w:ind w:left="1440" w:firstLineChars="0"/>
              <w:textAlignment w:val="auto"/>
              <w:rPr>
                <w:rFonts w:eastAsia="宋体"/>
              </w:rPr>
            </w:pPr>
            <w:r>
              <w:rPr>
                <w:rFonts w:eastAsia="宋体"/>
              </w:rPr>
              <w:t xml:space="preserve">Can be discussed directly in draft CR. </w:t>
            </w:r>
          </w:p>
          <w:p>
            <w:pPr>
              <w:pStyle w:val="3"/>
            </w:pPr>
            <w:r>
              <w:t>Sub-topic 4-2 Test case design</w:t>
            </w:r>
          </w:p>
          <w:p>
            <w:pPr>
              <w:rPr>
                <w:b/>
                <w:color w:val="0070C0"/>
                <w:u w:val="single"/>
                <w:lang w:eastAsia="ko-KR"/>
              </w:rPr>
            </w:pPr>
            <w:r>
              <w:rPr>
                <w:b/>
                <w:color w:val="0070C0"/>
                <w:u w:val="single"/>
                <w:lang w:eastAsia="ko-KR"/>
              </w:rPr>
              <w:t>Issue 4-2-1: work plan for test case design</w:t>
            </w:r>
          </w:p>
          <w:p>
            <w:pPr>
              <w:pStyle w:val="29"/>
              <w:numPr>
                <w:ilvl w:val="0"/>
                <w:numId w:val="3"/>
              </w:numPr>
              <w:overflowPunct/>
              <w:autoSpaceDE/>
              <w:autoSpaceDN/>
              <w:adjustRightInd/>
              <w:spacing w:after="120"/>
              <w:ind w:firstLineChars="0"/>
              <w:textAlignment w:val="auto"/>
              <w:rPr>
                <w:rFonts w:eastAsia="宋体"/>
                <w:highlight w:val="green"/>
              </w:rPr>
            </w:pPr>
            <w:r>
              <w:rPr>
                <w:rFonts w:eastAsia="宋体"/>
                <w:highlight w:val="green"/>
              </w:rPr>
              <w:t>Agreement:</w:t>
            </w:r>
          </w:p>
          <w:p>
            <w:pPr>
              <w:numPr>
                <w:ilvl w:val="1"/>
                <w:numId w:val="5"/>
              </w:numPr>
              <w:tabs>
                <w:tab w:val="left" w:pos="1400"/>
              </w:tabs>
              <w:autoSpaceDE w:val="0"/>
              <w:autoSpaceDN w:val="0"/>
              <w:adjustRightInd w:val="0"/>
              <w:spacing w:after="120" w:line="252" w:lineRule="auto"/>
              <w:ind w:left="1387" w:hanging="451"/>
              <w:rPr>
                <w:b/>
                <w:bCs/>
                <w:color w:val="000000"/>
                <w:u w:val="single"/>
              </w:rPr>
            </w:pPr>
            <w:r>
              <w:rPr>
                <w:b/>
                <w:bCs/>
                <w:color w:val="000000"/>
                <w:u w:val="single"/>
              </w:rPr>
              <w:t>3GPP RAN4 #108-bis meeting (Oct, 2023)</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 to achieve consensus on the work plan [RAN4]</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 the test case list and work splitting for test case design [RAN4]</w:t>
            </w:r>
          </w:p>
          <w:p>
            <w:pPr>
              <w:numPr>
                <w:ilvl w:val="1"/>
                <w:numId w:val="5"/>
              </w:numPr>
              <w:tabs>
                <w:tab w:val="left" w:pos="1400"/>
              </w:tabs>
              <w:autoSpaceDE w:val="0"/>
              <w:autoSpaceDN w:val="0"/>
              <w:adjustRightInd w:val="0"/>
              <w:spacing w:after="120" w:line="252" w:lineRule="auto"/>
              <w:ind w:left="1387" w:hanging="451"/>
              <w:rPr>
                <w:b/>
                <w:bCs/>
                <w:color w:val="000000"/>
                <w:u w:val="single"/>
              </w:rPr>
            </w:pPr>
            <w:r>
              <w:rPr>
                <w:b/>
                <w:bCs/>
                <w:color w:val="000000"/>
                <w:u w:val="single"/>
              </w:rPr>
              <w:t>3GPP RAN4 #109 meeting (Nov, 2023)</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 and agree on the test case list and work splitting for test case design [RAN4]</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Discussion on configurations/parameters for test cases [RAN4]</w:t>
            </w:r>
          </w:p>
          <w:p>
            <w:pPr>
              <w:numPr>
                <w:ilvl w:val="1"/>
                <w:numId w:val="5"/>
              </w:numPr>
              <w:tabs>
                <w:tab w:val="left" w:pos="1400"/>
              </w:tabs>
              <w:autoSpaceDE w:val="0"/>
              <w:autoSpaceDN w:val="0"/>
              <w:adjustRightInd w:val="0"/>
              <w:spacing w:after="120" w:line="252" w:lineRule="auto"/>
              <w:ind w:left="1387" w:hanging="451"/>
              <w:rPr>
                <w:b/>
                <w:bCs/>
                <w:color w:val="000000"/>
                <w:u w:val="single"/>
              </w:rPr>
            </w:pPr>
            <w:r>
              <w:rPr>
                <w:b/>
                <w:bCs/>
                <w:color w:val="000000"/>
                <w:u w:val="single"/>
              </w:rPr>
              <w:t>3GPP RAN4 #110 meeting (Feb, 2024)</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 and agree on configurations/parameters for test cases [RAN4]</w:t>
            </w:r>
          </w:p>
          <w:p>
            <w:pPr>
              <w:numPr>
                <w:ilvl w:val="2"/>
                <w:numId w:val="6"/>
              </w:numPr>
              <w:tabs>
                <w:tab w:val="left" w:pos="990"/>
              </w:tabs>
              <w:autoSpaceDE w:val="0"/>
              <w:autoSpaceDN w:val="0"/>
              <w:adjustRightInd w:val="0"/>
              <w:spacing w:after="120" w:line="252" w:lineRule="auto"/>
              <w:ind w:left="1747"/>
              <w:rPr>
                <w:color w:val="000000"/>
              </w:rPr>
            </w:pPr>
            <w:r>
              <w:rPr>
                <w:color w:val="000000"/>
              </w:rPr>
              <w:t>Initial discussion on draft test cases [RAN4]</w:t>
            </w:r>
          </w:p>
          <w:p>
            <w:pPr>
              <w:numPr>
                <w:ilvl w:val="1"/>
                <w:numId w:val="7"/>
              </w:numPr>
              <w:tabs>
                <w:tab w:val="left" w:pos="990"/>
              </w:tabs>
              <w:autoSpaceDE w:val="0"/>
              <w:autoSpaceDN w:val="0"/>
              <w:adjustRightInd w:val="0"/>
              <w:spacing w:after="120" w:line="252" w:lineRule="auto"/>
              <w:ind w:left="2377"/>
              <w:rPr>
                <w:color w:val="000000"/>
              </w:rPr>
            </w:pPr>
            <w:r>
              <w:rPr>
                <w:color w:val="000000"/>
              </w:rPr>
              <w:t xml:space="preserve">Draft CR for test cases are expected </w:t>
            </w:r>
          </w:p>
          <w:p>
            <w:pPr>
              <w:numPr>
                <w:ilvl w:val="1"/>
                <w:numId w:val="5"/>
              </w:numPr>
              <w:tabs>
                <w:tab w:val="left" w:pos="1400"/>
              </w:tabs>
              <w:autoSpaceDE w:val="0"/>
              <w:autoSpaceDN w:val="0"/>
              <w:adjustRightInd w:val="0"/>
              <w:spacing w:after="120" w:line="252" w:lineRule="auto"/>
              <w:ind w:left="1387" w:hanging="451"/>
              <w:rPr>
                <w:b/>
                <w:bCs/>
                <w:color w:val="000000"/>
                <w:u w:val="single"/>
              </w:rPr>
            </w:pPr>
            <w:r>
              <w:rPr>
                <w:b/>
                <w:bCs/>
                <w:color w:val="000000"/>
                <w:u w:val="single"/>
              </w:rPr>
              <w:t>3GPP RAN4 #110bis meeting (April, 2024)</w:t>
            </w:r>
          </w:p>
          <w:p>
            <w:pPr>
              <w:numPr>
                <w:ilvl w:val="2"/>
                <w:numId w:val="6"/>
              </w:numPr>
              <w:tabs>
                <w:tab w:val="left" w:pos="990"/>
              </w:tabs>
              <w:autoSpaceDE w:val="0"/>
              <w:autoSpaceDN w:val="0"/>
              <w:adjustRightInd w:val="0"/>
              <w:spacing w:after="120" w:line="252" w:lineRule="auto"/>
              <w:ind w:left="1747"/>
              <w:rPr>
                <w:color w:val="000000"/>
              </w:rPr>
            </w:pPr>
            <w:r>
              <w:rPr>
                <w:color w:val="000000"/>
              </w:rPr>
              <w:t>Finalize the configurations/parameters for test cases [RAN4]</w:t>
            </w:r>
          </w:p>
          <w:p>
            <w:pPr>
              <w:numPr>
                <w:ilvl w:val="2"/>
                <w:numId w:val="6"/>
              </w:numPr>
              <w:tabs>
                <w:tab w:val="left" w:pos="990"/>
              </w:tabs>
              <w:autoSpaceDE w:val="0"/>
              <w:autoSpaceDN w:val="0"/>
              <w:adjustRightInd w:val="0"/>
              <w:spacing w:after="120" w:line="252" w:lineRule="auto"/>
              <w:ind w:left="1747"/>
              <w:rPr>
                <w:color w:val="000000"/>
              </w:rPr>
            </w:pPr>
            <w:r>
              <w:rPr>
                <w:color w:val="000000"/>
              </w:rPr>
              <w:t>Discuss and endorse on the CRs of test cases [RAN4]</w:t>
            </w:r>
          </w:p>
          <w:p>
            <w:pPr>
              <w:numPr>
                <w:ilvl w:val="1"/>
                <w:numId w:val="5"/>
              </w:numPr>
              <w:tabs>
                <w:tab w:val="left" w:pos="1400"/>
              </w:tabs>
              <w:autoSpaceDE w:val="0"/>
              <w:autoSpaceDN w:val="0"/>
              <w:adjustRightInd w:val="0"/>
              <w:spacing w:after="120" w:line="252" w:lineRule="auto"/>
              <w:ind w:left="1387" w:hanging="451"/>
              <w:rPr>
                <w:b/>
                <w:bCs/>
                <w:color w:val="000000"/>
                <w:u w:val="single"/>
              </w:rPr>
            </w:pPr>
            <w:r>
              <w:rPr>
                <w:b/>
                <w:bCs/>
                <w:color w:val="000000"/>
                <w:u w:val="single"/>
              </w:rPr>
              <w:t>3GPP RAN4 #111 meeting (May, 2024)</w:t>
            </w:r>
          </w:p>
          <w:p>
            <w:pPr>
              <w:numPr>
                <w:ilvl w:val="2"/>
                <w:numId w:val="6"/>
              </w:numPr>
              <w:tabs>
                <w:tab w:val="left" w:pos="990"/>
              </w:tabs>
              <w:autoSpaceDE w:val="0"/>
              <w:autoSpaceDN w:val="0"/>
              <w:adjustRightInd w:val="0"/>
              <w:spacing w:after="120" w:line="252" w:lineRule="auto"/>
              <w:ind w:left="1747"/>
              <w:rPr>
                <w:rFonts w:hint="default"/>
                <w:bCs/>
                <w:color w:val="000000" w:themeColor="text1"/>
                <w:lang w:val="en-US" w:eastAsia="zh-CN"/>
                <w14:textFill>
                  <w14:solidFill>
                    <w14:schemeClr w14:val="tx1"/>
                  </w14:solidFill>
                </w14:textFill>
              </w:rPr>
            </w:pPr>
            <w:r>
              <w:rPr>
                <w:rFonts w:ascii="Times New Roman" w:hAnsi="Times New Roman" w:eastAsia="Times New Roman" w:cs="Times New Roman"/>
                <w:color w:val="000000"/>
                <w:kern w:val="0"/>
                <w:sz w:val="20"/>
                <w:szCs w:val="24"/>
                <w:lang w:val="en-US" w:eastAsia="en-US" w:bidi="ar-SA"/>
              </w:rPr>
              <w:t>Agree on the formal CRs of test cases [RAN4]</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Based on the approved work plan for performance part, in this meeting, RAN4 would identify the the test cases and the configuration/parameters for the test cases. In this paper, we provide our views regarding these aspects.</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widowControl w:val="0"/>
        <w:numPr>
          <w:ilvl w:val="0"/>
          <w:numId w:val="0"/>
        </w:numPr>
        <w:ind w:leftChars="0"/>
        <w:jc w:val="both"/>
        <w:rPr>
          <w:rFonts w:hint="default" w:eastAsia="宋体"/>
          <w:b/>
          <w:bCs/>
          <w:color w:val="auto"/>
          <w:sz w:val="20"/>
          <w:szCs w:val="20"/>
          <w:u w:val="single"/>
          <w:lang w:val="en-US" w:eastAsia="zh-CN"/>
        </w:rPr>
      </w:pPr>
      <w:r>
        <w:rPr>
          <w:rFonts w:hint="eastAsia" w:eastAsia="宋体"/>
          <w:b/>
          <w:bCs/>
          <w:color w:val="auto"/>
          <w:sz w:val="20"/>
          <w:szCs w:val="20"/>
          <w:u w:val="single"/>
          <w:lang w:val="en-US" w:eastAsia="zh-CN"/>
        </w:rPr>
        <w:t>Test case design</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During last meeting, in general three UE feature groups were approved to define in core part, including:</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E</w:t>
      </w:r>
      <w:r>
        <w:rPr>
          <w:rFonts w:hint="eastAsia" w:eastAsia="宋体"/>
          <w:color w:val="auto"/>
          <w:sz w:val="20"/>
          <w:szCs w:val="20"/>
          <w:highlight w:val="none"/>
          <w:lang w:val="en-US" w:eastAsia="ko-KR"/>
        </w:rPr>
        <w:t>nhancement L3 report after SCell activation command</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B</w:t>
      </w:r>
      <w:r>
        <w:rPr>
          <w:rFonts w:hint="default" w:eastAsia="宋体"/>
          <w:color w:val="auto"/>
          <w:sz w:val="20"/>
          <w:szCs w:val="20"/>
          <w:highlight w:val="none"/>
          <w:lang w:val="en-US" w:eastAsia="zh-CN"/>
        </w:rPr>
        <w:t>eam sweeping factor reduction for L3 and L1 (X1 and X2)</w:t>
      </w:r>
    </w:p>
    <w:p>
      <w:pPr>
        <w:widowControl w:val="0"/>
        <w:numPr>
          <w:ilvl w:val="0"/>
          <w:numId w:val="8"/>
        </w:numPr>
        <w:ind w:left="420" w:leftChars="0" w:hanging="420" w:firstLineChars="0"/>
        <w:jc w:val="both"/>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U</w:t>
      </w:r>
      <w:r>
        <w:rPr>
          <w:rFonts w:hint="default" w:eastAsia="宋体"/>
          <w:color w:val="auto"/>
          <w:sz w:val="20"/>
          <w:szCs w:val="20"/>
          <w:highlight w:val="none"/>
          <w:lang w:val="en-US" w:eastAsia="zh-CN"/>
        </w:rPr>
        <w:t xml:space="preserve">sing SSB periodicity instead of SMTC and </w:t>
      </w:r>
      <w:r>
        <w:rPr>
          <w:rFonts w:hint="eastAsia" w:eastAsia="宋体"/>
          <w:color w:val="auto"/>
          <w:sz w:val="20"/>
          <w:szCs w:val="20"/>
          <w:highlight w:val="none"/>
          <w:lang w:val="en-US" w:eastAsia="zh-CN"/>
        </w:rPr>
        <w:t>P</w:t>
      </w:r>
      <w:r>
        <w:rPr>
          <w:rFonts w:hint="default" w:eastAsia="宋体"/>
          <w:color w:val="auto"/>
          <w:sz w:val="20"/>
          <w:szCs w:val="20"/>
          <w:highlight w:val="none"/>
          <w:lang w:val="en-US" w:eastAsia="zh-CN"/>
        </w:rPr>
        <w:t>erform L1-RSRP measurement in non-DRX mode even DRX is configured</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We can discuss the test cases for each UE feature group one by one.</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Regarding the enhancement L3 report after SCell activation command, since L3 reporting triggered by SCell activation command is newly introduced in this WI, and such enhancement has been approved to extend to the PUCCH SCell activation, multiple SCell activation, PUCCH SCell activation with multiple SCell, so it is necessary to perform test under all these cases since the exact applicability conditions for all these cases are diverse. Only performing test for the basic single SCell activation procedure is not enough.</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jc w:val="center"/>
        <w:textAlignment w:val="auto"/>
        <w:rPr>
          <w:rFonts w:hint="default" w:eastAsia="宋体"/>
          <w:color w:val="auto"/>
          <w:sz w:val="20"/>
          <w:szCs w:val="20"/>
          <w:lang w:val="en-US" w:eastAsia="zh-CN"/>
        </w:rPr>
      </w:pPr>
      <w:r>
        <w:rPr>
          <w:rFonts w:hint="eastAsia" w:eastAsia="宋体"/>
          <w:color w:val="auto"/>
          <w:sz w:val="20"/>
          <w:szCs w:val="20"/>
          <w:lang w:val="en-US" w:eastAsia="zh-CN"/>
        </w:rPr>
        <w:t>Table 1. Test cases for the enhancement L3 report after SCell activation command</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779"/>
        <w:gridCol w:w="6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Feature</w:t>
            </w:r>
          </w:p>
        </w:tc>
        <w:tc>
          <w:tcPr>
            <w:tcW w:w="779"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Index</w:t>
            </w:r>
          </w:p>
        </w:tc>
        <w:tc>
          <w:tcPr>
            <w:tcW w:w="6240" w:type="dxa"/>
          </w:tcPr>
          <w:p>
            <w:pPr>
              <w:overflowPunct w:val="0"/>
              <w:autoSpaceDE w:val="0"/>
              <w:autoSpaceDN w:val="0"/>
              <w:adjustRightInd w:val="0"/>
              <w:spacing w:after="120" w:line="240" w:lineRule="auto"/>
              <w:jc w:val="center"/>
              <w:textAlignment w:val="baseline"/>
              <w:rPr>
                <w:rFonts w:eastAsia="宋体"/>
                <w:sz w:val="20"/>
                <w:szCs w:val="20"/>
              </w:rPr>
            </w:pPr>
            <w:r>
              <w:rPr>
                <w:rFonts w:eastAsia="宋体"/>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L3 report based enhancement</w:t>
            </w:r>
          </w:p>
        </w:tc>
        <w:tc>
          <w:tcPr>
            <w:tcW w:w="779"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1</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2</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3</w:t>
            </w:r>
          </w:p>
        </w:tc>
        <w:tc>
          <w:tcPr>
            <w:tcW w:w="6240" w:type="dxa"/>
          </w:tcPr>
          <w:p>
            <w:pPr>
              <w:overflowPunct/>
              <w:autoSpaceDE/>
              <w:autoSpaceDN/>
              <w:adjustRightInd/>
              <w:spacing w:after="120" w:line="240" w:lineRule="auto"/>
              <w:contextualSpacing/>
              <w:jc w:val="both"/>
              <w:textAlignment w:val="auto"/>
              <w:rPr>
                <w:rFonts w:eastAsiaTheme="minorEastAsia"/>
                <w:sz w:val="20"/>
                <w:szCs w:val="20"/>
              </w:rPr>
            </w:pPr>
            <w:r>
              <w:rPr>
                <w:rFonts w:hint="eastAsia" w:eastAsiaTheme="minorEastAsia"/>
                <w:sz w:val="20"/>
                <w:szCs w:val="20"/>
              </w:rPr>
              <w:t>M</w:t>
            </w:r>
            <w:r>
              <w:rPr>
                <w:rFonts w:eastAsiaTheme="minorEastAsia"/>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sz w:val="20"/>
                <w:szCs w:val="20"/>
              </w:rPr>
            </w:pPr>
          </w:p>
        </w:tc>
        <w:tc>
          <w:tcPr>
            <w:tcW w:w="779"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4</w:t>
            </w:r>
          </w:p>
        </w:tc>
        <w:tc>
          <w:tcPr>
            <w:tcW w:w="6240" w:type="dxa"/>
          </w:tcPr>
          <w:p>
            <w:pPr>
              <w:overflowPunct w:val="0"/>
              <w:autoSpaceDE w:val="0"/>
              <w:autoSpaceDN w:val="0"/>
              <w:adjustRightInd w:val="0"/>
              <w:spacing w:after="120" w:line="240" w:lineRule="auto"/>
              <w:textAlignment w:val="baseline"/>
              <w:rPr>
                <w:rFonts w:eastAsia="宋体"/>
                <w:sz w:val="20"/>
                <w:szCs w:val="20"/>
              </w:rPr>
            </w:pPr>
            <w:r>
              <w:rPr>
                <w:rFonts w:eastAsia="宋体"/>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enhancement L3 report after SCell activation command, to design test cases for as below.</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16"/>
        <w:gridCol w:w="6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Feature</w:t>
            </w:r>
          </w:p>
        </w:tc>
        <w:tc>
          <w:tcPr>
            <w:tcW w:w="816"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Index</w:t>
            </w:r>
          </w:p>
        </w:tc>
        <w:tc>
          <w:tcPr>
            <w:tcW w:w="6526"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L3 report based enhancement</w:t>
            </w: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1</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2</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3</w:t>
            </w:r>
          </w:p>
        </w:tc>
        <w:tc>
          <w:tcPr>
            <w:tcW w:w="6526" w:type="dxa"/>
          </w:tcPr>
          <w:p>
            <w:pPr>
              <w:overflowPunct/>
              <w:autoSpaceDE/>
              <w:autoSpaceDN/>
              <w:adjustRightInd/>
              <w:spacing w:after="120" w:line="240" w:lineRule="auto"/>
              <w:contextualSpacing/>
              <w:jc w:val="both"/>
              <w:textAlignment w:val="auto"/>
              <w:rPr>
                <w:rFonts w:eastAsiaTheme="minorEastAsia"/>
                <w:b/>
                <w:bCs/>
                <w:sz w:val="20"/>
                <w:szCs w:val="20"/>
              </w:rPr>
            </w:pPr>
            <w:r>
              <w:rPr>
                <w:rFonts w:hint="eastAsia" w:eastAsiaTheme="minorEastAsia"/>
                <w:b/>
                <w:bCs/>
                <w:sz w:val="20"/>
                <w:szCs w:val="20"/>
              </w:rPr>
              <w:t>M</w:t>
            </w:r>
            <w:r>
              <w:rPr>
                <w:rFonts w:eastAsiaTheme="minorEastAsia"/>
                <w:b/>
                <w:bCs/>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4</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beam sweeping factor reduction for L3 and L1 (X1 and X2), since the application of the two beam reduction are independent, so it is necessary to test the reduced X1 and reduced X2 respectively, of course which can be in the same test cases. Furthermore, such beam sweeping reduction is applicable for direct SCell activation, PUCCH SCell activation and multiple SCell activation. Therefore, whether need to test the X1 and X2 under all types of SCell activation procedures for the capable UE, which can be discussed. To our understanding, RAN4 can pick some cases to test the beam sweeping reduction, not need to test under all cases.</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Within all the cases in which the beam sweeping reduction is applicable, pick some cases to test the beam sweeping reduction, not need to test under each case.</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terms of the enhancements of Using SSB periodicity instead of SMTC and Perform L1-RSRP measurement in non-DRX mode even DRX is configured, similar as the enhancement of beam sweeping reduction, these enhancements are also applicable to all SCell activation procedures for the capable UE. So it is reasonable to pick some cases to test these enhancement is fine, not need to test under all cases.</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Within all the cases in which the the enhancements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Using SSB periodicity instead of SMTC</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and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Perform L1-RSRP measurement in non-DRX mode even DRX is configured</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is applicable, pick some cases to test these enhancements, not need to test under each case.</w:t>
      </w:r>
    </w:p>
    <w:p>
      <w:pPr>
        <w:widowControl w:val="0"/>
        <w:numPr>
          <w:ilvl w:val="0"/>
          <w:numId w:val="0"/>
        </w:numPr>
        <w:ind w:leftChars="0"/>
        <w:jc w:val="both"/>
        <w:rPr>
          <w:rFonts w:hint="eastAsia" w:eastAsia="宋体"/>
          <w:b/>
          <w:bCs/>
          <w:color w:val="auto"/>
          <w:sz w:val="20"/>
          <w:szCs w:val="20"/>
          <w:u w:val="single"/>
          <w:lang w:val="en-US" w:eastAsia="zh-CN"/>
        </w:rPr>
      </w:pPr>
      <w:r>
        <w:rPr>
          <w:rFonts w:hint="eastAsia" w:eastAsia="宋体"/>
          <w:b/>
          <w:bCs/>
          <w:color w:val="auto"/>
          <w:sz w:val="20"/>
          <w:szCs w:val="20"/>
          <w:u w:val="single"/>
          <w:lang w:val="en-US" w:eastAsia="zh-CN"/>
        </w:rPr>
        <w:t>Test configurations</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NR operation mode for the test was proposed in last meeting while no progress achieved. It has been approved that the enhancements achieved in FR2 SCell activation is also applicable to FR1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color w:val="0070C0"/>
                <w:u w:val="single"/>
                <w:lang w:eastAsia="ko-KR"/>
              </w:rPr>
            </w:pPr>
            <w:r>
              <w:rPr>
                <w:b/>
                <w:color w:val="0070C0"/>
                <w:u w:val="single"/>
                <w:lang w:eastAsia="ko-KR"/>
              </w:rPr>
              <w:t>Issue 2-1-1: expand the</w:t>
            </w:r>
            <w:r>
              <w:rPr>
                <w:rFonts w:hint="eastAsia"/>
                <w:b/>
                <w:color w:val="0070C0"/>
                <w:u w:val="single"/>
                <w:lang w:eastAsia="ko-KR"/>
              </w:rPr>
              <w:t xml:space="preserve"> enhancement with L3 measurement report after SCell activation command </w:t>
            </w:r>
            <w:r>
              <w:rPr>
                <w:b/>
                <w:color w:val="0070C0"/>
                <w:u w:val="single"/>
                <w:lang w:eastAsia="ko-KR"/>
              </w:rPr>
              <w:t>to</w:t>
            </w:r>
            <w:r>
              <w:rPr>
                <w:rFonts w:hint="eastAsia"/>
                <w:b/>
                <w:color w:val="0070C0"/>
                <w:u w:val="single"/>
                <w:lang w:eastAsia="ko-KR"/>
              </w:rPr>
              <w:t xml:space="preserve"> FR1 SCell unknown activation</w:t>
            </w:r>
            <w:r>
              <w:rPr>
                <w:rFonts w:hint="eastAsia"/>
                <w:sz w:val="20"/>
                <w:szCs w:val="20"/>
              </w:rPr>
              <w:t xml:space="preserve"> </w:t>
            </w:r>
          </w:p>
          <w:p>
            <w:pPr>
              <w:pStyle w:val="29"/>
              <w:numPr>
                <w:ilvl w:val="0"/>
                <w:numId w:val="3"/>
              </w:numPr>
              <w:overflowPunct/>
              <w:autoSpaceDE/>
              <w:autoSpaceDN/>
              <w:adjustRightInd/>
              <w:spacing w:after="120"/>
              <w:ind w:left="720" w:firstLineChars="0"/>
              <w:textAlignment w:val="auto"/>
              <w:rPr>
                <w:rFonts w:eastAsia="宋体"/>
                <w:highlight w:val="green"/>
              </w:rPr>
            </w:pPr>
            <w:r>
              <w:rPr>
                <w:rFonts w:eastAsia="宋体"/>
                <w:highlight w:val="green"/>
              </w:rPr>
              <w:t>Agreement:</w:t>
            </w:r>
          </w:p>
          <w:p>
            <w:pPr>
              <w:pStyle w:val="29"/>
              <w:numPr>
                <w:ilvl w:val="1"/>
                <w:numId w:val="3"/>
              </w:numPr>
              <w:overflowPunct/>
              <w:autoSpaceDE/>
              <w:autoSpaceDN/>
              <w:adjustRightInd/>
              <w:spacing w:after="120"/>
              <w:ind w:firstLineChars="0"/>
              <w:textAlignment w:val="auto"/>
            </w:pPr>
            <w:r>
              <w:rPr>
                <w:rFonts w:hint="eastAsia"/>
              </w:rPr>
              <w:t>the enhancement with L3 measurement report after SCell activation command can be used for  FR1 SCell unknown activation delay</w:t>
            </w:r>
          </w:p>
          <w:p>
            <w:pPr>
              <w:pStyle w:val="29"/>
              <w:numPr>
                <w:ilvl w:val="2"/>
                <w:numId w:val="3"/>
              </w:numPr>
              <w:overflowPunct/>
              <w:autoSpaceDE/>
              <w:autoSpaceDN/>
              <w:adjustRightInd/>
              <w:spacing w:after="120"/>
              <w:ind w:firstLineChars="0"/>
              <w:textAlignment w:val="auto"/>
            </w:pPr>
            <w:r>
              <w:rPr>
                <w:rFonts w:hint="eastAsia"/>
              </w:rPr>
              <w:t>with L3 measurement report after SCell activation command, the L3 part (</w:t>
            </w:r>
            <w:r>
              <w:t>T</w:t>
            </w:r>
            <w:r>
              <w:rPr>
                <w:vertAlign w:val="subscript"/>
              </w:rPr>
              <w:t>rs</w:t>
            </w:r>
            <w:r>
              <w:rPr>
                <w:rFonts w:hint="eastAsia"/>
              </w:rPr>
              <w:t>) and L1 part (</w:t>
            </w:r>
            <w:r>
              <w:t>T</w:t>
            </w:r>
            <w:r>
              <w:rPr>
                <w:vertAlign w:val="subscript"/>
              </w:rPr>
              <w:t>L1-RSRP,measure</w:t>
            </w:r>
            <w:r>
              <w:t xml:space="preserve"> + T</w:t>
            </w:r>
            <w:r>
              <w:rPr>
                <w:vertAlign w:val="subscript"/>
              </w:rPr>
              <w:t>L1-RSRP,report</w:t>
            </w:r>
            <w:r>
              <w:rPr>
                <w:rFonts w:hint="eastAsia"/>
              </w:rPr>
              <w:t>) can be removed from FR1 SCell activation delay requirements.</w:t>
            </w:r>
          </w:p>
          <w:p>
            <w:pPr>
              <w:pStyle w:val="29"/>
              <w:numPr>
                <w:ilvl w:val="1"/>
                <w:numId w:val="3"/>
              </w:numPr>
              <w:overflowPunct/>
              <w:autoSpaceDE/>
              <w:autoSpaceDN/>
              <w:adjustRightInd/>
              <w:spacing w:after="120"/>
              <w:ind w:firstLineChars="0"/>
              <w:textAlignment w:val="auto"/>
              <w:rPr>
                <w:rFonts w:hint="default" w:eastAsia="宋体"/>
                <w:color w:val="auto"/>
                <w:sz w:val="20"/>
                <w:szCs w:val="20"/>
                <w:highlight w:val="none"/>
                <w:vertAlign w:val="baseline"/>
                <w:lang w:val="en-US" w:eastAsia="zh-CN"/>
              </w:rPr>
            </w:pPr>
            <w:r>
              <w:t>the enhancement of using SSB periodicity instead of SMTC periodicity when the SMTC is only configured in MO can be applied for FR1 SCell activation delay.</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 multiple NR operation modes including FR1 and FR2 should be considered. Furthermore, within the EN-DC, NR-DC and SA, multiple modes should be considered, e.g. FR1 NR CA, FR2 NR CA, FR1+FR2 NR CA, FR1 EN/NR-DC, FR1+FR2 EN/NR-DC, FR2 NR-DC.</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Multiple modes should be considered, including FR1 NR CA, FR2 NR CA, FR1+FR2 NR CA, FR1 EN/NR-DC, FR1+FR2 EN/NR-DC, FR2 NR-DC.</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1"/>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performance part of</w:t>
      </w:r>
      <w:r>
        <w:rPr>
          <w:rFonts w:hint="eastAsia" w:eastAsia="宋体"/>
          <w:color w:val="auto"/>
          <w:sz w:val="20"/>
          <w:szCs w:val="20"/>
          <w:lang w:val="en-US" w:eastAsia="zh-CN"/>
        </w:rPr>
        <w:t xml:space="preserve"> SCell activation enhancements</w:t>
      </w:r>
      <w:r>
        <w:rPr>
          <w:rFonts w:eastAsia="宋体"/>
          <w:bCs/>
          <w:color w:val="auto"/>
          <w:sz w:val="20"/>
          <w:szCs w:val="20"/>
          <w:lang w:val="en-GB" w:eastAsia="zh-CN"/>
        </w:rPr>
        <w:t>:</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the enhancement L3 report after SCell activation command, to design test cases for as below.</w:t>
      </w:r>
    </w:p>
    <w:tbl>
      <w:tblPr>
        <w:tblStyle w:val="18"/>
        <w:tblW w:w="0" w:type="auto"/>
        <w:tblInd w:w="6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16"/>
        <w:gridCol w:w="65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993"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Feature</w:t>
            </w:r>
          </w:p>
        </w:tc>
        <w:tc>
          <w:tcPr>
            <w:tcW w:w="816"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Index</w:t>
            </w:r>
          </w:p>
        </w:tc>
        <w:tc>
          <w:tcPr>
            <w:tcW w:w="6526" w:type="dxa"/>
          </w:tcPr>
          <w:p>
            <w:pPr>
              <w:overflowPunct w:val="0"/>
              <w:autoSpaceDE w:val="0"/>
              <w:autoSpaceDN w:val="0"/>
              <w:adjustRightInd w:val="0"/>
              <w:spacing w:after="120" w:line="240" w:lineRule="auto"/>
              <w:jc w:val="center"/>
              <w:textAlignment w:val="baseline"/>
              <w:rPr>
                <w:rFonts w:eastAsia="宋体"/>
                <w:b/>
                <w:bCs/>
                <w:sz w:val="20"/>
                <w:szCs w:val="20"/>
              </w:rPr>
            </w:pPr>
            <w:r>
              <w:rPr>
                <w:rFonts w:eastAsia="宋体"/>
                <w:b/>
                <w:bCs/>
                <w:sz w:val="20"/>
                <w:szCs w:val="20"/>
              </w:rPr>
              <w:t>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trPr>
        <w:tc>
          <w:tcPr>
            <w:tcW w:w="993" w:type="dxa"/>
            <w:vMerge w:val="restart"/>
            <w:vAlign w:val="center"/>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L3 report based enhancement</w:t>
            </w: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1</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FR2 unknown SCell activation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2</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PUCCH SCell activation delay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3</w:t>
            </w:r>
          </w:p>
        </w:tc>
        <w:tc>
          <w:tcPr>
            <w:tcW w:w="6526" w:type="dxa"/>
          </w:tcPr>
          <w:p>
            <w:pPr>
              <w:overflowPunct/>
              <w:autoSpaceDE/>
              <w:autoSpaceDN/>
              <w:adjustRightInd/>
              <w:spacing w:after="120" w:line="240" w:lineRule="auto"/>
              <w:contextualSpacing/>
              <w:jc w:val="both"/>
              <w:textAlignment w:val="auto"/>
              <w:rPr>
                <w:rFonts w:eastAsiaTheme="minorEastAsia"/>
                <w:b/>
                <w:bCs/>
                <w:sz w:val="20"/>
                <w:szCs w:val="20"/>
              </w:rPr>
            </w:pPr>
            <w:r>
              <w:rPr>
                <w:rFonts w:hint="eastAsia" w:eastAsiaTheme="minorEastAsia"/>
                <w:b/>
                <w:bCs/>
                <w:sz w:val="20"/>
                <w:szCs w:val="20"/>
              </w:rPr>
              <w:t>M</w:t>
            </w:r>
            <w:r>
              <w:rPr>
                <w:rFonts w:eastAsiaTheme="minorEastAsia"/>
                <w:b/>
                <w:bCs/>
                <w:sz w:val="20"/>
                <w:szCs w:val="20"/>
              </w:rPr>
              <w:t>ultiple SCell activation delay with FR2 unknown SCell with L3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993" w:type="dxa"/>
            <w:vMerge w:val="continue"/>
          </w:tcPr>
          <w:p>
            <w:pPr>
              <w:overflowPunct w:val="0"/>
              <w:autoSpaceDE w:val="0"/>
              <w:autoSpaceDN w:val="0"/>
              <w:adjustRightInd w:val="0"/>
              <w:spacing w:after="120" w:line="240" w:lineRule="auto"/>
              <w:textAlignment w:val="baseline"/>
              <w:rPr>
                <w:rFonts w:eastAsia="宋体"/>
                <w:b/>
                <w:bCs/>
                <w:sz w:val="20"/>
                <w:szCs w:val="20"/>
              </w:rPr>
            </w:pPr>
          </w:p>
        </w:tc>
        <w:tc>
          <w:tcPr>
            <w:tcW w:w="81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4</w:t>
            </w:r>
          </w:p>
        </w:tc>
        <w:tc>
          <w:tcPr>
            <w:tcW w:w="6526" w:type="dxa"/>
          </w:tcPr>
          <w:p>
            <w:pPr>
              <w:overflowPunct w:val="0"/>
              <w:autoSpaceDE w:val="0"/>
              <w:autoSpaceDN w:val="0"/>
              <w:adjustRightInd w:val="0"/>
              <w:spacing w:after="120" w:line="240" w:lineRule="auto"/>
              <w:textAlignment w:val="baseline"/>
              <w:rPr>
                <w:rFonts w:eastAsia="宋体"/>
                <w:b/>
                <w:bCs/>
                <w:sz w:val="20"/>
                <w:szCs w:val="20"/>
              </w:rPr>
            </w:pPr>
            <w:r>
              <w:rPr>
                <w:rFonts w:eastAsia="宋体"/>
                <w:b/>
                <w:bCs/>
                <w:sz w:val="20"/>
                <w:szCs w:val="20"/>
              </w:rPr>
              <w:t>PUCCH SCell activation delay with L3 report with Multiple SCells</w:t>
            </w:r>
          </w:p>
        </w:tc>
      </w:tr>
    </w:tbl>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2: Within all the cases in which the beam sweeping reduction is applicable, pick some cases to test the beam sweeping reduction, not need to test under each case.</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Within all the cases in which the the enhancements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Using SSB periodicity instead of SMTC</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and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Perform L1-RSRP measurement in non-DRX mode even DRX is configured</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is applicable, pick some cases to test these enhancements, not need to test under each case.</w:t>
      </w:r>
    </w:p>
    <w:p>
      <w:pPr>
        <w:pStyle w:val="11"/>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Multiple modes should be considered, including FR1 NR CA, FR2 NR CA, FR1+FR2 NR CA, FR1 EN/NR-DC, FR1+FR2 EN/NR-DC, FR2 NR-DC.</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6"/>
        <w:numPr>
          <w:ilvl w:val="0"/>
          <w:numId w:val="9"/>
        </w:numPr>
        <w:ind w:leftChars="0"/>
        <w:rPr>
          <w:rFonts w:hint="eastAsia"/>
          <w:color w:val="auto"/>
          <w:lang w:val="en-US" w:eastAsia="zh-CN"/>
        </w:rPr>
      </w:pPr>
      <w:r>
        <w:rPr>
          <w:rFonts w:hint="eastAsia"/>
          <w:color w:val="auto"/>
          <w:lang w:val="en-US" w:eastAsia="zh-CN"/>
        </w:rPr>
        <w:t xml:space="preserve">R4-2317350 </w:t>
      </w:r>
      <w:r>
        <w:rPr>
          <w:rFonts w:hint="default"/>
          <w:color w:val="auto"/>
          <w:lang w:val="en-US" w:eastAsia="zh-CN"/>
        </w:rPr>
        <w:t>“WF for [108bis][204] NR_RRM_enh3_part1”</w:t>
      </w:r>
      <w:r>
        <w:rPr>
          <w:rFonts w:hint="eastAsia"/>
          <w:color w:val="auto"/>
          <w:lang w:val="en-US" w:eastAsia="zh-CN"/>
        </w:rPr>
        <w:t>, Apple</w:t>
      </w:r>
    </w:p>
    <w:p>
      <w:pPr>
        <w:pStyle w:val="6"/>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decimal"/>
      <w:lvlText w:val="(%1)"/>
      <w:lvlJc w:val="left"/>
      <w:pPr>
        <w:ind w:left="720" w:hanging="360"/>
      </w:pPr>
    </w:lvl>
    <w:lvl w:ilvl="1" w:tentative="0">
      <w:start w:val="1"/>
      <w:numFmt w:val="decimal"/>
      <w:lvlText w:val="(%2)"/>
      <w:lvlJc w:val="left"/>
      <w:pPr>
        <w:ind w:left="1440" w:hanging="360"/>
      </w:pPr>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0002"/>
    <w:multiLevelType w:val="multilevel"/>
    <w:tmpl w:val="00000002"/>
    <w:lvl w:ilvl="0" w:tentative="0">
      <w:start w:val="1"/>
      <w:numFmt w:val="bullet"/>
      <w:lvlText w:val="•"/>
      <w:lvlJc w:val="left"/>
      <w:pPr>
        <w:ind w:left="720" w:hanging="360"/>
      </w:pPr>
    </w:lvl>
    <w:lvl w:ilvl="1" w:tentative="0">
      <w:start w:val="1"/>
      <w:numFmt w:val="bullet"/>
      <w:lvlText w:val="•"/>
      <w:lvlJc w:val="left"/>
      <w:pPr>
        <w:ind w:left="1440" w:hanging="360"/>
      </w:pPr>
    </w:lvl>
    <w:lvl w:ilvl="2" w:tentative="0">
      <w:start w:val="1"/>
      <w:numFmt w:val="bullet"/>
      <w:lvlText w:val="•"/>
      <w:lvlJc w:val="left"/>
      <w:pPr>
        <w:ind w:left="2160" w:hanging="36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17B0CB9"/>
    <w:multiLevelType w:val="singleLevel"/>
    <w:tmpl w:val="017B0CB9"/>
    <w:lvl w:ilvl="0" w:tentative="0">
      <w:start w:val="1"/>
      <w:numFmt w:val="bullet"/>
      <w:lvlText w:val=""/>
      <w:lvlJc w:val="left"/>
      <w:pPr>
        <w:ind w:left="420" w:hanging="42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7370A0D"/>
    <w:multiLevelType w:val="multilevel"/>
    <w:tmpl w:val="37370A0D"/>
    <w:lvl w:ilvl="0" w:tentative="0">
      <w:start w:val="1"/>
      <w:numFmt w:val="bullet"/>
      <w:lvlText w:val="•"/>
      <w:lvlJc w:val="left"/>
      <w:pPr>
        <w:ind w:left="720" w:hanging="360"/>
      </w:pPr>
    </w:lvl>
    <w:lvl w:ilvl="1" w:tentative="0">
      <w:start w:val="0"/>
      <w:numFmt w:val="bullet"/>
      <w:lvlText w:val="-"/>
      <w:lvlJc w:val="left"/>
      <w:pPr>
        <w:ind w:left="1440" w:hanging="360"/>
      </w:pPr>
      <w:rPr>
        <w:rFonts w:hint="default" w:ascii="Times New Roman" w:hAnsi="Times New Roman" w:eastAsia="MS Mincho" w:cs="Times New Roman"/>
        <w:b/>
        <w:i/>
      </w:rPr>
    </w:lvl>
    <w:lvl w:ilvl="2" w:tentative="0">
      <w:start w:val="1"/>
      <w:numFmt w:val="bullet"/>
      <w:lvlText w:val=""/>
      <w:lvlJc w:val="left"/>
      <w:pPr>
        <w:ind w:left="2160" w:hanging="360"/>
      </w:pPr>
      <w:rPr>
        <w:rFonts w:hint="default" w:ascii="Wingdings" w:hAnsi="Wingdings"/>
      </w:r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9"/>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7">
    <w:nsid w:val="6B5B4F67"/>
    <w:multiLevelType w:val="multilevel"/>
    <w:tmpl w:val="6B5B4F67"/>
    <w:lvl w:ilvl="0" w:tentative="0">
      <w:start w:val="1"/>
      <w:numFmt w:val="decimal"/>
      <w:pStyle w:val="6"/>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abstractNum w:abstractNumId="8">
    <w:nsid w:val="6D132084"/>
    <w:multiLevelType w:val="singleLevel"/>
    <w:tmpl w:val="6D132084"/>
    <w:lvl w:ilvl="0" w:tentative="0">
      <w:start w:val="1"/>
      <w:numFmt w:val="decimal"/>
      <w:suff w:val="space"/>
      <w:lvlText w:val="[%1]"/>
      <w:lvlJc w:val="left"/>
    </w:lvl>
  </w:abstractNum>
  <w:num w:numId="1">
    <w:abstractNumId w:val="7"/>
  </w:num>
  <w:num w:numId="2">
    <w:abstractNumId w:val="5"/>
  </w:num>
  <w:num w:numId="3">
    <w:abstractNumId w:val="6"/>
  </w:num>
  <w:num w:numId="4">
    <w:abstractNumId w:val="3"/>
  </w:num>
  <w:num w:numId="5">
    <w:abstractNumId w:val="0"/>
  </w:num>
  <w:num w:numId="6">
    <w:abstractNumId w:val="1"/>
  </w:num>
  <w:num w:numId="7">
    <w:abstractNumId w:val="4"/>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7A5"/>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891204"/>
    <w:rsid w:val="01F37ADA"/>
    <w:rsid w:val="028B6A1D"/>
    <w:rsid w:val="028F1C3E"/>
    <w:rsid w:val="037D0CB3"/>
    <w:rsid w:val="037E115D"/>
    <w:rsid w:val="03D4720A"/>
    <w:rsid w:val="04026226"/>
    <w:rsid w:val="04654053"/>
    <w:rsid w:val="04793516"/>
    <w:rsid w:val="047A3CFF"/>
    <w:rsid w:val="04F403D8"/>
    <w:rsid w:val="05317828"/>
    <w:rsid w:val="053A2B03"/>
    <w:rsid w:val="05477E90"/>
    <w:rsid w:val="05BB5AB9"/>
    <w:rsid w:val="05C42923"/>
    <w:rsid w:val="06963BA6"/>
    <w:rsid w:val="075928A1"/>
    <w:rsid w:val="07CD3CDD"/>
    <w:rsid w:val="0855671D"/>
    <w:rsid w:val="08777F6D"/>
    <w:rsid w:val="089009EB"/>
    <w:rsid w:val="096641FF"/>
    <w:rsid w:val="09716BCA"/>
    <w:rsid w:val="09D64B23"/>
    <w:rsid w:val="09E644B8"/>
    <w:rsid w:val="0B12013A"/>
    <w:rsid w:val="0B3D3C2F"/>
    <w:rsid w:val="0BB0429A"/>
    <w:rsid w:val="0BFF5FC6"/>
    <w:rsid w:val="0C394019"/>
    <w:rsid w:val="0CF856E7"/>
    <w:rsid w:val="0D2A60F1"/>
    <w:rsid w:val="0E871F55"/>
    <w:rsid w:val="0EB60EDD"/>
    <w:rsid w:val="0F7514C6"/>
    <w:rsid w:val="10832C30"/>
    <w:rsid w:val="10997F43"/>
    <w:rsid w:val="10DE7BAE"/>
    <w:rsid w:val="110768ED"/>
    <w:rsid w:val="120774A3"/>
    <w:rsid w:val="124D1C25"/>
    <w:rsid w:val="12866C44"/>
    <w:rsid w:val="136B3851"/>
    <w:rsid w:val="13B66EB5"/>
    <w:rsid w:val="14006D19"/>
    <w:rsid w:val="14337DBF"/>
    <w:rsid w:val="1481754F"/>
    <w:rsid w:val="148F5721"/>
    <w:rsid w:val="14AC57CD"/>
    <w:rsid w:val="14B90DF6"/>
    <w:rsid w:val="159C76CB"/>
    <w:rsid w:val="15C37DEC"/>
    <w:rsid w:val="15ED3E9B"/>
    <w:rsid w:val="164514BE"/>
    <w:rsid w:val="16CD72CF"/>
    <w:rsid w:val="17065891"/>
    <w:rsid w:val="170F06AA"/>
    <w:rsid w:val="17225508"/>
    <w:rsid w:val="17564923"/>
    <w:rsid w:val="17C63C83"/>
    <w:rsid w:val="180A6E32"/>
    <w:rsid w:val="1825042E"/>
    <w:rsid w:val="183F2CD2"/>
    <w:rsid w:val="1856323E"/>
    <w:rsid w:val="18AF55E3"/>
    <w:rsid w:val="18B1519A"/>
    <w:rsid w:val="18CD0507"/>
    <w:rsid w:val="195D7D48"/>
    <w:rsid w:val="196E39FC"/>
    <w:rsid w:val="197B756F"/>
    <w:rsid w:val="19960536"/>
    <w:rsid w:val="1AD01A1B"/>
    <w:rsid w:val="1B3C3255"/>
    <w:rsid w:val="1B61065A"/>
    <w:rsid w:val="1B731483"/>
    <w:rsid w:val="1BBF3927"/>
    <w:rsid w:val="1BD261F4"/>
    <w:rsid w:val="1C177B08"/>
    <w:rsid w:val="1C702C80"/>
    <w:rsid w:val="1C9001C6"/>
    <w:rsid w:val="1CBA2101"/>
    <w:rsid w:val="1CC2157E"/>
    <w:rsid w:val="1D0573D7"/>
    <w:rsid w:val="1D153DC4"/>
    <w:rsid w:val="1D223E0B"/>
    <w:rsid w:val="1E132F88"/>
    <w:rsid w:val="1E2867E9"/>
    <w:rsid w:val="1E513650"/>
    <w:rsid w:val="1E853F6F"/>
    <w:rsid w:val="1E9C7BCC"/>
    <w:rsid w:val="1EC87896"/>
    <w:rsid w:val="1ECC1E3C"/>
    <w:rsid w:val="20080741"/>
    <w:rsid w:val="20933D8F"/>
    <w:rsid w:val="20AE781D"/>
    <w:rsid w:val="20C806F7"/>
    <w:rsid w:val="21014C39"/>
    <w:rsid w:val="21244EB1"/>
    <w:rsid w:val="213964D8"/>
    <w:rsid w:val="214F3475"/>
    <w:rsid w:val="21595D04"/>
    <w:rsid w:val="21F13629"/>
    <w:rsid w:val="2305377E"/>
    <w:rsid w:val="24122135"/>
    <w:rsid w:val="24220030"/>
    <w:rsid w:val="24D4257E"/>
    <w:rsid w:val="24D7783C"/>
    <w:rsid w:val="25490B44"/>
    <w:rsid w:val="2572202B"/>
    <w:rsid w:val="2605683C"/>
    <w:rsid w:val="260C4DC9"/>
    <w:rsid w:val="269452A9"/>
    <w:rsid w:val="26BB1419"/>
    <w:rsid w:val="2732686A"/>
    <w:rsid w:val="273D2956"/>
    <w:rsid w:val="27B748AA"/>
    <w:rsid w:val="27CB4CB9"/>
    <w:rsid w:val="27D31A52"/>
    <w:rsid w:val="27FC40F8"/>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D586EBF"/>
    <w:rsid w:val="2D6F3D99"/>
    <w:rsid w:val="2DC04760"/>
    <w:rsid w:val="2E014790"/>
    <w:rsid w:val="2E082A14"/>
    <w:rsid w:val="2EBA1DF4"/>
    <w:rsid w:val="2EE77680"/>
    <w:rsid w:val="2F2F0FC8"/>
    <w:rsid w:val="2F57467C"/>
    <w:rsid w:val="2FBC15C5"/>
    <w:rsid w:val="301C6BB6"/>
    <w:rsid w:val="30220150"/>
    <w:rsid w:val="30571E20"/>
    <w:rsid w:val="31894491"/>
    <w:rsid w:val="319708F2"/>
    <w:rsid w:val="31B14C9E"/>
    <w:rsid w:val="33C522D7"/>
    <w:rsid w:val="34807672"/>
    <w:rsid w:val="34921EC4"/>
    <w:rsid w:val="34A82967"/>
    <w:rsid w:val="34E62056"/>
    <w:rsid w:val="3509099B"/>
    <w:rsid w:val="35B06C6A"/>
    <w:rsid w:val="36941AA2"/>
    <w:rsid w:val="36D37423"/>
    <w:rsid w:val="36FF6E30"/>
    <w:rsid w:val="370E71B8"/>
    <w:rsid w:val="379D23F9"/>
    <w:rsid w:val="37E12984"/>
    <w:rsid w:val="3840202A"/>
    <w:rsid w:val="390F18D5"/>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1BD7DAD"/>
    <w:rsid w:val="42F869D2"/>
    <w:rsid w:val="43285B25"/>
    <w:rsid w:val="43553536"/>
    <w:rsid w:val="43806620"/>
    <w:rsid w:val="443A3304"/>
    <w:rsid w:val="44972678"/>
    <w:rsid w:val="44E85A06"/>
    <w:rsid w:val="451632B9"/>
    <w:rsid w:val="45193F0F"/>
    <w:rsid w:val="4576356B"/>
    <w:rsid w:val="457B4C4B"/>
    <w:rsid w:val="45906394"/>
    <w:rsid w:val="45C25C23"/>
    <w:rsid w:val="45F60A50"/>
    <w:rsid w:val="46142D0C"/>
    <w:rsid w:val="46970A81"/>
    <w:rsid w:val="4697115A"/>
    <w:rsid w:val="46B036BF"/>
    <w:rsid w:val="46C73401"/>
    <w:rsid w:val="47185425"/>
    <w:rsid w:val="47282363"/>
    <w:rsid w:val="49525C50"/>
    <w:rsid w:val="49DC4EAC"/>
    <w:rsid w:val="49E55BC5"/>
    <w:rsid w:val="4B3B06EC"/>
    <w:rsid w:val="4B6E5E44"/>
    <w:rsid w:val="4BF24EEB"/>
    <w:rsid w:val="4C1C63D6"/>
    <w:rsid w:val="4C864A35"/>
    <w:rsid w:val="4CB867ED"/>
    <w:rsid w:val="4CD61886"/>
    <w:rsid w:val="4E015C76"/>
    <w:rsid w:val="4E310026"/>
    <w:rsid w:val="4E4A2325"/>
    <w:rsid w:val="4EF1548F"/>
    <w:rsid w:val="4F2948F1"/>
    <w:rsid w:val="4F2D3B14"/>
    <w:rsid w:val="4F5C5331"/>
    <w:rsid w:val="501A6C55"/>
    <w:rsid w:val="505E1A7C"/>
    <w:rsid w:val="5086431A"/>
    <w:rsid w:val="51B14BED"/>
    <w:rsid w:val="52313D62"/>
    <w:rsid w:val="52526454"/>
    <w:rsid w:val="525C1CEF"/>
    <w:rsid w:val="528B5767"/>
    <w:rsid w:val="52C700B1"/>
    <w:rsid w:val="52D33625"/>
    <w:rsid w:val="53A3105E"/>
    <w:rsid w:val="53C64B93"/>
    <w:rsid w:val="53D64D18"/>
    <w:rsid w:val="54283FDA"/>
    <w:rsid w:val="548A6C60"/>
    <w:rsid w:val="5534082B"/>
    <w:rsid w:val="55B1164D"/>
    <w:rsid w:val="55B4735E"/>
    <w:rsid w:val="55BB221D"/>
    <w:rsid w:val="55F52EA4"/>
    <w:rsid w:val="56371459"/>
    <w:rsid w:val="56484633"/>
    <w:rsid w:val="56EB15F8"/>
    <w:rsid w:val="58D0053D"/>
    <w:rsid w:val="58DB5C96"/>
    <w:rsid w:val="5963100F"/>
    <w:rsid w:val="598C40A0"/>
    <w:rsid w:val="59DA647E"/>
    <w:rsid w:val="5A472BD1"/>
    <w:rsid w:val="5A556E1A"/>
    <w:rsid w:val="5A607E19"/>
    <w:rsid w:val="5C094F4D"/>
    <w:rsid w:val="5C876D53"/>
    <w:rsid w:val="5CFD1122"/>
    <w:rsid w:val="5E283A0C"/>
    <w:rsid w:val="5E2864D0"/>
    <w:rsid w:val="5E494511"/>
    <w:rsid w:val="5E531A2E"/>
    <w:rsid w:val="5EB44FC0"/>
    <w:rsid w:val="5FBA395F"/>
    <w:rsid w:val="60EC2CBA"/>
    <w:rsid w:val="60EE2705"/>
    <w:rsid w:val="61BD018E"/>
    <w:rsid w:val="61CC2D28"/>
    <w:rsid w:val="63476641"/>
    <w:rsid w:val="635902CD"/>
    <w:rsid w:val="635E6E54"/>
    <w:rsid w:val="640F0A9C"/>
    <w:rsid w:val="64706BBE"/>
    <w:rsid w:val="64F2095B"/>
    <w:rsid w:val="655E2D01"/>
    <w:rsid w:val="663429C9"/>
    <w:rsid w:val="66837EAF"/>
    <w:rsid w:val="67A858DB"/>
    <w:rsid w:val="67C776ED"/>
    <w:rsid w:val="67FE4166"/>
    <w:rsid w:val="68C401C3"/>
    <w:rsid w:val="69A833BD"/>
    <w:rsid w:val="6A9360AB"/>
    <w:rsid w:val="6AB215EC"/>
    <w:rsid w:val="6C742572"/>
    <w:rsid w:val="6C952210"/>
    <w:rsid w:val="6CAE59F5"/>
    <w:rsid w:val="6CD425A8"/>
    <w:rsid w:val="6D023321"/>
    <w:rsid w:val="6D452195"/>
    <w:rsid w:val="6D566F0F"/>
    <w:rsid w:val="6D836F72"/>
    <w:rsid w:val="6D944C6F"/>
    <w:rsid w:val="6DDE3DAF"/>
    <w:rsid w:val="6E3241BE"/>
    <w:rsid w:val="6E92081A"/>
    <w:rsid w:val="6EB97A9D"/>
    <w:rsid w:val="6EF10A90"/>
    <w:rsid w:val="6EF77781"/>
    <w:rsid w:val="6F7F3578"/>
    <w:rsid w:val="6FA020C5"/>
    <w:rsid w:val="6FFF1868"/>
    <w:rsid w:val="715F4C2D"/>
    <w:rsid w:val="71605362"/>
    <w:rsid w:val="71733BEC"/>
    <w:rsid w:val="71C020E8"/>
    <w:rsid w:val="722F78FB"/>
    <w:rsid w:val="723D67C5"/>
    <w:rsid w:val="72BF60CA"/>
    <w:rsid w:val="72F41282"/>
    <w:rsid w:val="730336CA"/>
    <w:rsid w:val="733D0D32"/>
    <w:rsid w:val="73984EC1"/>
    <w:rsid w:val="73D411F1"/>
    <w:rsid w:val="73F0682F"/>
    <w:rsid w:val="744E0E29"/>
    <w:rsid w:val="753811DE"/>
    <w:rsid w:val="75A854A2"/>
    <w:rsid w:val="75BE67D4"/>
    <w:rsid w:val="75C2004C"/>
    <w:rsid w:val="75C759C1"/>
    <w:rsid w:val="762D64F3"/>
    <w:rsid w:val="766B63D6"/>
    <w:rsid w:val="767E7EFF"/>
    <w:rsid w:val="77592FF4"/>
    <w:rsid w:val="775B4604"/>
    <w:rsid w:val="77C067C3"/>
    <w:rsid w:val="77F32708"/>
    <w:rsid w:val="783F569F"/>
    <w:rsid w:val="78911E31"/>
    <w:rsid w:val="7922350F"/>
    <w:rsid w:val="792B5470"/>
    <w:rsid w:val="798B394D"/>
    <w:rsid w:val="7A2A2BDF"/>
    <w:rsid w:val="7A9367CB"/>
    <w:rsid w:val="7AC62F94"/>
    <w:rsid w:val="7AF22571"/>
    <w:rsid w:val="7B69224B"/>
    <w:rsid w:val="7BE80F25"/>
    <w:rsid w:val="7C1127AC"/>
    <w:rsid w:val="7C1C35A7"/>
    <w:rsid w:val="7C45431D"/>
    <w:rsid w:val="7D3219D5"/>
    <w:rsid w:val="7DDD0501"/>
    <w:rsid w:val="7DE51372"/>
    <w:rsid w:val="7DFF100D"/>
    <w:rsid w:val="7E5E590F"/>
    <w:rsid w:val="7E935AFB"/>
    <w:rsid w:val="7EF30223"/>
    <w:rsid w:val="7F695915"/>
    <w:rsid w:val="7FC5602F"/>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7">
    <w:name w:val="List"/>
    <w:basedOn w:val="1"/>
    <w:semiHidden/>
    <w:unhideWhenUsed/>
    <w:qFormat/>
    <w:uiPriority w:val="99"/>
    <w:pPr>
      <w:ind w:left="200" w:hanging="200" w:hangingChars="200"/>
      <w:contextualSpacing/>
    </w:pPr>
  </w:style>
  <w:style w:type="paragraph" w:styleId="8">
    <w:name w:val="caption"/>
    <w:basedOn w:val="1"/>
    <w:next w:val="1"/>
    <w:unhideWhenUsed/>
    <w:qFormat/>
    <w:uiPriority w:val="35"/>
    <w:rPr>
      <w:rFonts w:ascii="Cambria" w:hAnsi="Cambria" w:eastAsia="黑体"/>
      <w:szCs w:val="20"/>
    </w:rPr>
  </w:style>
  <w:style w:type="paragraph" w:styleId="9">
    <w:name w:val="Document Map"/>
    <w:basedOn w:val="1"/>
    <w:link w:val="30"/>
    <w:semiHidden/>
    <w:unhideWhenUsed/>
    <w:qFormat/>
    <w:uiPriority w:val="99"/>
    <w:rPr>
      <w:rFonts w:ascii="宋体" w:eastAsia="宋体"/>
      <w:sz w:val="18"/>
      <w:szCs w:val="18"/>
    </w:rPr>
  </w:style>
  <w:style w:type="paragraph" w:styleId="10">
    <w:name w:val="annotation text"/>
    <w:basedOn w:val="1"/>
    <w:semiHidden/>
    <w:unhideWhenUsed/>
    <w:qFormat/>
    <w:uiPriority w:val="0"/>
    <w:pPr>
      <w:jc w:val="left"/>
    </w:pPr>
  </w:style>
  <w:style w:type="paragraph" w:styleId="11">
    <w:name w:val="Body Text"/>
    <w:basedOn w:val="1"/>
    <w:link w:val="24"/>
    <w:qFormat/>
    <w:uiPriority w:val="0"/>
    <w:pPr>
      <w:spacing w:after="120"/>
      <w:jc w:val="both"/>
    </w:pPr>
    <w:rPr>
      <w:rFonts w:eastAsia="MS Mincho"/>
      <w:lang w:val="zh-CN"/>
    </w:r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1"/>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9"/>
    <w:semiHidden/>
    <w:qFormat/>
    <w:uiPriority w:val="99"/>
    <w:rPr>
      <w:rFonts w:ascii="宋体" w:hAnsi="Times New Roman"/>
      <w:sz w:val="18"/>
      <w:szCs w:val="18"/>
      <w:lang w:eastAsia="en-US"/>
    </w:rPr>
  </w:style>
  <w:style w:type="paragraph" w:customStyle="1" w:styleId="31">
    <w:name w:val="B1"/>
    <w:basedOn w:val="7"/>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8"/>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B2"/>
    <w:basedOn w:val="6"/>
    <w:qFormat/>
    <w:uiPriority w:val="0"/>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3"/>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2023-11-03T16:30:08Z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FFB5176DD3A4421EBB948A7705297399</vt:lpwstr>
  </property>
</Properties>
</file>